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eastAsia="方正小标宋简体" w:cs="方正小标宋简体"/>
          <w:color w:val="000000"/>
          <w:sz w:val="44"/>
          <w:szCs w:val="44"/>
          <w:lang w:val="en-US" w:eastAsia="zh-CN"/>
        </w:rPr>
      </w:pPr>
      <w:r>
        <w:rPr>
          <w:rFonts w:hint="eastAsia" w:ascii="方正小标宋简体" w:eastAsia="方正小标宋简体" w:cs="方正小标宋简体"/>
          <w:color w:val="000000"/>
          <w:sz w:val="44"/>
          <w:szCs w:val="44"/>
          <w:lang w:val="en-US" w:eastAsia="zh-CN"/>
        </w:rPr>
        <w:t>岳塘区人民检察院2023年度</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eastAsia="方正小标宋简体" w:cs="方正小标宋简体"/>
          <w:color w:val="000000"/>
          <w:sz w:val="44"/>
          <w:szCs w:val="44"/>
          <w:lang w:val="en-US" w:eastAsia="zh-CN"/>
        </w:rPr>
      </w:pPr>
      <w:r>
        <w:rPr>
          <w:rFonts w:hint="eastAsia" w:ascii="方正小标宋简体" w:eastAsia="方正小标宋简体" w:cs="方正小标宋简体"/>
          <w:color w:val="000000"/>
          <w:sz w:val="44"/>
          <w:szCs w:val="44"/>
          <w:lang w:val="en-US" w:eastAsia="zh-CN"/>
        </w:rPr>
        <w:t>普法重点任务清单</w:t>
      </w:r>
    </w:p>
    <w:p/>
    <w:tbl>
      <w:tblPr>
        <w:tblStyle w:val="3"/>
        <w:tblW w:w="15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9"/>
        <w:gridCol w:w="13210"/>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jc w:val="center"/>
              <w:rPr>
                <w:rFonts w:hint="eastAsia" w:ascii="仿宋_GB2312" w:eastAsia="仿宋_GB2312" w:cs="仿宋_GB2312"/>
                <w:b/>
                <w:bCs/>
                <w:color w:val="000000"/>
                <w:sz w:val="24"/>
                <w:szCs w:val="24"/>
                <w:vertAlign w:val="baseline"/>
                <w:lang w:val="en-US" w:eastAsia="zh-CN"/>
              </w:rPr>
            </w:pPr>
            <w:r>
              <w:rPr>
                <w:rFonts w:hint="eastAsia" w:ascii="仿宋_GB2312" w:eastAsia="仿宋_GB2312" w:cs="仿宋_GB2312"/>
                <w:b/>
                <w:bCs/>
                <w:color w:val="000000"/>
                <w:sz w:val="24"/>
                <w:szCs w:val="24"/>
                <w:vertAlign w:val="baseline"/>
                <w:lang w:val="en-US" w:eastAsia="zh-CN"/>
              </w:rPr>
              <w:t>单位</w:t>
            </w:r>
          </w:p>
        </w:tc>
        <w:tc>
          <w:tcPr>
            <w:tcW w:w="459" w:type="dxa"/>
            <w:noWrap w:val="0"/>
            <w:vAlign w:val="center"/>
          </w:tcPr>
          <w:p>
            <w:pPr>
              <w:jc w:val="center"/>
              <w:rPr>
                <w:rFonts w:hint="eastAsia" w:ascii="仿宋_GB2312" w:eastAsia="仿宋_GB2312" w:cs="仿宋_GB2312"/>
                <w:b/>
                <w:bCs/>
                <w:color w:val="000000"/>
                <w:sz w:val="24"/>
                <w:szCs w:val="24"/>
                <w:vertAlign w:val="baseline"/>
                <w:lang w:val="en-US" w:eastAsia="zh-CN"/>
              </w:rPr>
            </w:pPr>
            <w:r>
              <w:rPr>
                <w:rFonts w:hint="eastAsia" w:ascii="仿宋_GB2312" w:eastAsia="仿宋_GB2312" w:cs="仿宋_GB2312"/>
                <w:b/>
                <w:bCs/>
                <w:color w:val="000000"/>
                <w:sz w:val="24"/>
                <w:szCs w:val="24"/>
                <w:vertAlign w:val="baseline"/>
                <w:lang w:val="en-US" w:eastAsia="zh-CN"/>
              </w:rPr>
              <w:t>序号</w:t>
            </w:r>
          </w:p>
        </w:tc>
        <w:tc>
          <w:tcPr>
            <w:tcW w:w="13210" w:type="dxa"/>
            <w:noWrap w:val="0"/>
            <w:vAlign w:val="center"/>
          </w:tcPr>
          <w:p>
            <w:pPr>
              <w:jc w:val="center"/>
              <w:rPr>
                <w:rFonts w:hint="eastAsia" w:ascii="仿宋_GB2312" w:eastAsia="仿宋_GB2312" w:cs="仿宋_GB2312"/>
                <w:b/>
                <w:bCs/>
                <w:color w:val="000000"/>
                <w:sz w:val="24"/>
                <w:szCs w:val="24"/>
                <w:vertAlign w:val="baseline"/>
                <w:lang w:val="en-US" w:eastAsia="zh-CN"/>
              </w:rPr>
            </w:pPr>
            <w:r>
              <w:rPr>
                <w:rFonts w:hint="eastAsia" w:ascii="仿宋_GB2312" w:eastAsia="仿宋_GB2312" w:cs="仿宋_GB2312"/>
                <w:b/>
                <w:bCs/>
                <w:color w:val="000000"/>
                <w:sz w:val="24"/>
                <w:szCs w:val="24"/>
                <w:vertAlign w:val="baseline"/>
                <w:lang w:val="en-US" w:eastAsia="zh-CN"/>
              </w:rPr>
              <w:t>普法重点任务</w:t>
            </w:r>
          </w:p>
        </w:tc>
        <w:tc>
          <w:tcPr>
            <w:tcW w:w="563" w:type="dxa"/>
            <w:noWrap w:val="0"/>
            <w:vAlign w:val="center"/>
          </w:tcPr>
          <w:p>
            <w:pPr>
              <w:jc w:val="center"/>
              <w:rPr>
                <w:rFonts w:hint="eastAsia" w:ascii="仿宋_GB2312" w:eastAsia="仿宋_GB2312" w:cs="仿宋_GB2312"/>
                <w:b/>
                <w:bCs/>
                <w:color w:val="000000"/>
                <w:sz w:val="24"/>
                <w:szCs w:val="24"/>
                <w:vertAlign w:val="baseline"/>
                <w:lang w:val="en-US" w:eastAsia="zh-CN"/>
              </w:rPr>
            </w:pPr>
            <w:r>
              <w:rPr>
                <w:rFonts w:hint="eastAsia" w:ascii="仿宋_GB2312" w:eastAsia="仿宋_GB2312" w:cs="仿宋_GB2312"/>
                <w:b/>
                <w:bCs/>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区检察院</w:t>
            </w: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1</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深入学习宣传习近平法治思想和中央全面依法治国工作会议精神，将相关内容纳入年内党委（党组）中心组集中学法内容和本单位、本系统法治培训内容，开展宣讲不少于1次。</w:t>
            </w:r>
          </w:p>
        </w:tc>
        <w:tc>
          <w:tcPr>
            <w:tcW w:w="5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共性普法清单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2</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突出宣传宪法，开展宪法进机关活动，组织系统干部开展日常宪法学习宣传，集中组织好本系统“宪法宣传周”活动。</w:t>
            </w:r>
          </w:p>
        </w:tc>
        <w:tc>
          <w:tcPr>
            <w:tcW w:w="5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3</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落实党委（党组）理论学习中心组学法制度，每年组织学法不少于2次。</w:t>
            </w:r>
          </w:p>
        </w:tc>
        <w:tc>
          <w:tcPr>
            <w:tcW w:w="5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4</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落实领导干部年终述法制度，在年度述职中加入述法内容。</w:t>
            </w:r>
          </w:p>
        </w:tc>
        <w:tc>
          <w:tcPr>
            <w:tcW w:w="5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cs="宋体"/>
                <w:color w:val="000000"/>
                <w:lang w:val="en-US" w:eastAsia="zh-CN"/>
              </w:rPr>
            </w:pPr>
            <w:r>
              <w:rPr>
                <w:rFonts w:hint="eastAsia" w:ascii="仿宋_GB2312" w:eastAsia="仿宋_GB2312" w:cs="宋体"/>
                <w:color w:val="000000"/>
                <w:lang w:val="en-US" w:eastAsia="zh-CN"/>
              </w:rPr>
              <w:t>5</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健全完善国家工作人员日常学法制度、法治培训制度、学法用法考核制度，年内举办法治专题培训班或法治学习讲座不少于1次。组织做好本单位工作人员网上学法，年内课时达标率100%，应考人员参考率100%，合格率100%。按规定及时编辑、更新本系统国家工作人员年度学法相关专业法律法规学习读本和考试题库。</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5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6</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落实国家工作人员旁听庭审制度，组织网上集中观看或是现场集中旁听庭审，年内不少于1次。</w:t>
            </w:r>
          </w:p>
        </w:tc>
        <w:tc>
          <w:tcPr>
            <w:tcW w:w="5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7</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在部门单位门户网站、自办刊物、官方微博、微信公众号开辟法治宣传专栏（专题）。设置“以案释法”栏目，定期发布普法宣传内容和“以案释法”案例，年内报送不少于1个典型案例进入省、市、区案例库。</w:t>
            </w:r>
          </w:p>
        </w:tc>
        <w:tc>
          <w:tcPr>
            <w:tcW w:w="5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8</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结合乡村振兴联系点打造本单位普法联系点，有针对性地宣传普及本部门与群众生产生活和乡村治理密切相关的法律法规，年内开展“送法下乡”活动不少于1次。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w:t>
            </w:r>
          </w:p>
        </w:tc>
        <w:tc>
          <w:tcPr>
            <w:tcW w:w="5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9</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认真贯彻落实《岳塘区贯彻落实湘潭市法治社会建设实施方案（2021-2025年）》，制定年度任务清单并抓好组织实施。</w:t>
            </w:r>
          </w:p>
        </w:tc>
        <w:tc>
          <w:tcPr>
            <w:tcW w:w="5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10</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认真做好全区“八五”普法规划中期评估和总结工作。</w:t>
            </w:r>
          </w:p>
        </w:tc>
        <w:tc>
          <w:tcPr>
            <w:tcW w:w="5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cs="宋体"/>
                <w:color w:val="000000"/>
                <w:lang w:val="en-US" w:eastAsia="zh-CN"/>
              </w:rPr>
            </w:pPr>
            <w:r>
              <w:rPr>
                <w:rFonts w:hint="eastAsia" w:ascii="仿宋_GB2312" w:eastAsia="仿宋_GB2312" w:cs="宋体"/>
                <w:color w:val="000000"/>
                <w:lang w:val="en-US" w:eastAsia="zh-CN"/>
              </w:rPr>
              <w:t>区检察院</w:t>
            </w: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cs="宋体"/>
                <w:color w:val="000000"/>
                <w:lang w:val="en-US" w:eastAsia="zh-CN"/>
              </w:rPr>
            </w:pPr>
            <w:r>
              <w:rPr>
                <w:rFonts w:hint="eastAsia" w:ascii="仿宋_GB2312" w:eastAsia="仿宋_GB2312" w:cs="宋体"/>
                <w:color w:val="000000"/>
                <w:lang w:val="en-US" w:eastAsia="zh-CN"/>
              </w:rPr>
              <w:t>11</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落实好以案释法制度，各办案部门在办案过程中，提升释法说理的主动性和能力水平，向司法办案对象及相关群众及时宣讲法律、政策规定，将普法融入办案全过程。</w:t>
            </w:r>
          </w:p>
        </w:tc>
        <w:tc>
          <w:tcPr>
            <w:tcW w:w="5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eastAsia="仿宋_GB2312" w:cs="宋体"/>
                <w:color w:val="000000"/>
                <w:lang w:val="en-US" w:eastAsia="zh-CN"/>
              </w:rPr>
            </w:pPr>
            <w:r>
              <w:rPr>
                <w:rFonts w:hint="eastAsia" w:ascii="仿宋_GB2312" w:eastAsia="仿宋_GB2312" w:cs="宋体"/>
                <w:color w:val="000000"/>
                <w:lang w:val="en-US" w:eastAsia="zh-CN"/>
              </w:rPr>
              <w:t>个性普法清单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894"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12</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持续开展预防青少年犯罪“法治进校园”活动。依托法治副校长，深化开展送法进校园进社区进乡村活动。制定并提供“预防校园欺凌、网络安全与犯罪预防、禁毒教育、预防性侵与自我保护、留守未成年人保护”等为主题的菜单式法治服务，选取涉未成年人典型案件以案释法。</w:t>
            </w:r>
          </w:p>
        </w:tc>
        <w:tc>
          <w:tcPr>
            <w:tcW w:w="563"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894"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cs="宋体"/>
                <w:color w:val="000000"/>
                <w:lang w:val="en-US" w:eastAsia="zh-CN"/>
              </w:rPr>
            </w:pPr>
            <w:r>
              <w:rPr>
                <w:rFonts w:hint="eastAsia" w:ascii="仿宋_GB2312" w:eastAsia="仿宋_GB2312" w:cs="宋体"/>
                <w:color w:val="000000"/>
                <w:lang w:val="en-US" w:eastAsia="zh-CN"/>
              </w:rPr>
              <w:t>13</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开展“远离毒品”主题普法。开展禁毒主题集中普法宣传活动。开展“开学第一课——禁毒教育进校园”专项活动，推进全民禁毒宣传教育，特别是重点抓好青少年学生群体的精准法治宣传教育，持续推进平安校园建设。</w:t>
            </w:r>
          </w:p>
        </w:tc>
        <w:tc>
          <w:tcPr>
            <w:tcW w:w="563"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94"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cs="宋体"/>
                <w:color w:val="000000"/>
                <w:lang w:val="en-US" w:eastAsia="zh-CN"/>
              </w:rPr>
            </w:pPr>
            <w:r>
              <w:rPr>
                <w:rFonts w:hint="eastAsia" w:ascii="仿宋_GB2312" w:eastAsia="仿宋_GB2312" w:cs="宋体"/>
                <w:color w:val="000000"/>
                <w:lang w:val="en-US" w:eastAsia="zh-CN"/>
              </w:rPr>
              <w:t>14</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在世界水日、地球日、环境日等重要生态环保节日，联合生态环保、水利、自然资源等部门共同开展生态环境与资源保护主题宣传活动，让公益诉讼走进平常百姓家。</w:t>
            </w:r>
          </w:p>
        </w:tc>
        <w:tc>
          <w:tcPr>
            <w:tcW w:w="563"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894"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cs="宋体"/>
                <w:color w:val="000000"/>
                <w:lang w:val="en-US" w:eastAsia="zh-CN"/>
              </w:rPr>
            </w:pPr>
            <w:r>
              <w:rPr>
                <w:rFonts w:hint="eastAsia" w:ascii="仿宋_GB2312" w:eastAsia="仿宋_GB2312" w:cs="宋体"/>
                <w:color w:val="000000"/>
                <w:lang w:val="en-US" w:eastAsia="zh-CN"/>
              </w:rPr>
              <w:t>15</w:t>
            </w:r>
          </w:p>
        </w:tc>
        <w:tc>
          <w:tcPr>
            <w:tcW w:w="132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r>
              <w:rPr>
                <w:rFonts w:hint="eastAsia" w:ascii="仿宋_GB2312" w:eastAsia="仿宋_GB2312" w:cs="宋体"/>
                <w:color w:val="000000"/>
                <w:lang w:val="en-US" w:eastAsia="zh-CN"/>
              </w:rPr>
              <w:t>发挥公开听证制度的普法功能。对社会关注度高、影响广的群体性、疑难复杂案件，积极引入公开听证模式，在矛盾化解的同时强化个案普法。积极邀请人大代表、政协委员、律师等社会第三方力量参与公开听证，发挥第三方的矛盾化解与检察普法作用。</w:t>
            </w:r>
          </w:p>
        </w:tc>
        <w:tc>
          <w:tcPr>
            <w:tcW w:w="563"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lang w:val="en-US" w:eastAsia="zh-CN"/>
              </w:rPr>
            </w:pPr>
          </w:p>
        </w:tc>
      </w:tr>
    </w:tbl>
    <w:p>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永中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MDZjNDg4MDJjOWE1NWY2ZDg3Mzc3YTU4Y2YwNTkifQ=="/>
  </w:docVars>
  <w:rsids>
    <w:rsidRoot w:val="17E010C3"/>
    <w:rsid w:val="17E010C3"/>
    <w:rsid w:val="5210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hAnsi="永中宋体" w:eastAsia="仿宋" w:cs="永中宋体"/>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2023-10-30T08:05:00Z</dcterms:created>
  <dc:creator>Administrator</dc:creator>
  <cp:lastModifiedBy>Administrator</cp:lastModifiedBy>
  <dcterms:modified xsi:type="dcterms:W3CDTF">2023-10-30T08:12:36Z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416711F736714F56BACA991DB0ED281C_11</vt:lpwstr>
  </property>
</Properties>
</file>